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8EF4" w14:textId="410BE00F" w:rsidR="007444DE" w:rsidRPr="00A56D31" w:rsidRDefault="00453D75">
      <w:pPr>
        <w:rPr>
          <w:b/>
          <w:bCs/>
          <w:sz w:val="24"/>
          <w:szCs w:val="24"/>
        </w:rPr>
      </w:pPr>
      <w:r w:rsidRPr="00B307DE">
        <w:rPr>
          <w:b/>
          <w:bCs/>
          <w:sz w:val="24"/>
          <w:szCs w:val="24"/>
        </w:rPr>
        <w:t>Korduma kippuvad k</w:t>
      </w:r>
      <w:r w:rsidR="003367D7" w:rsidRPr="00B307DE">
        <w:rPr>
          <w:b/>
          <w:bCs/>
          <w:sz w:val="24"/>
          <w:szCs w:val="24"/>
        </w:rPr>
        <w:t>üsimused</w:t>
      </w:r>
      <w:r w:rsidR="00160120" w:rsidRPr="00B307DE">
        <w:t xml:space="preserve"> </w:t>
      </w:r>
      <w:r w:rsidR="00160120" w:rsidRPr="00B307DE">
        <w:rPr>
          <w:b/>
          <w:bCs/>
          <w:sz w:val="24"/>
          <w:szCs w:val="24"/>
        </w:rPr>
        <w:t>Euroopa ravimiameti (EMA) ja Euroopa ravimiametite juhtide võrgustiku (HMA)</w:t>
      </w:r>
      <w:r w:rsidR="003367D7" w:rsidRPr="00B307DE">
        <w:rPr>
          <w:b/>
          <w:bCs/>
          <w:sz w:val="24"/>
          <w:szCs w:val="24"/>
        </w:rPr>
        <w:t xml:space="preserve"> </w:t>
      </w:r>
      <w:r w:rsidR="00D11448" w:rsidRPr="00B307DE">
        <w:rPr>
          <w:b/>
          <w:bCs/>
          <w:sz w:val="24"/>
          <w:szCs w:val="24"/>
        </w:rPr>
        <w:t>biosimilaride</w:t>
      </w:r>
      <w:r w:rsidR="003367D7" w:rsidRPr="00B307DE">
        <w:rPr>
          <w:b/>
          <w:bCs/>
          <w:sz w:val="24"/>
          <w:szCs w:val="24"/>
        </w:rPr>
        <w:t xml:space="preserve"> </w:t>
      </w:r>
      <w:r w:rsidR="001637DE" w:rsidRPr="00B307DE">
        <w:rPr>
          <w:b/>
          <w:bCs/>
          <w:sz w:val="24"/>
          <w:szCs w:val="24"/>
        </w:rPr>
        <w:t>vahetatavust</w:t>
      </w:r>
      <w:r w:rsidR="003367D7" w:rsidRPr="00B307DE">
        <w:rPr>
          <w:b/>
          <w:bCs/>
          <w:sz w:val="24"/>
          <w:szCs w:val="24"/>
        </w:rPr>
        <w:t xml:space="preserve"> toetava </w:t>
      </w:r>
      <w:r w:rsidR="00501F8F" w:rsidRPr="00B307DE">
        <w:rPr>
          <w:b/>
          <w:bCs/>
          <w:sz w:val="24"/>
          <w:szCs w:val="24"/>
        </w:rPr>
        <w:t>avalduse</w:t>
      </w:r>
      <w:r w:rsidRPr="00B307DE">
        <w:rPr>
          <w:b/>
          <w:bCs/>
          <w:sz w:val="24"/>
          <w:szCs w:val="24"/>
        </w:rPr>
        <w:t xml:space="preserve"> </w:t>
      </w:r>
      <w:r w:rsidR="00501F8F" w:rsidRPr="00B307DE">
        <w:rPr>
          <w:b/>
          <w:bCs/>
          <w:sz w:val="24"/>
          <w:szCs w:val="24"/>
        </w:rPr>
        <w:t>kohta</w:t>
      </w:r>
      <w:r w:rsidRPr="00B307DE">
        <w:rPr>
          <w:b/>
          <w:bCs/>
          <w:sz w:val="24"/>
          <w:szCs w:val="24"/>
        </w:rPr>
        <w:t xml:space="preserve"> </w:t>
      </w:r>
    </w:p>
    <w:p w14:paraId="6D273787" w14:textId="210E9F50" w:rsidR="00160120" w:rsidRDefault="00160120">
      <w:r>
        <w:t>Avaldus</w:t>
      </w:r>
      <w:r w:rsidR="00DF349C">
        <w:t>e</w:t>
      </w:r>
      <w:r>
        <w:t xml:space="preserve"> lei</w:t>
      </w:r>
      <w:r w:rsidR="00DF349C">
        <w:t>ab</w:t>
      </w:r>
      <w:r>
        <w:t xml:space="preserve"> siit </w:t>
      </w:r>
      <w:r w:rsidRPr="00160120">
        <w:t xml:space="preserve">(https://www.ema.europa.eu/en/documents/public-statement/statement-scientific-rationale-supporting-interchangeability-biosimilar-medicines-eu_en.pdf)  </w:t>
      </w:r>
    </w:p>
    <w:p w14:paraId="3DF8921A" w14:textId="2A8FDDA3" w:rsidR="004B6A85" w:rsidRPr="00501F8F" w:rsidRDefault="00B80D8B" w:rsidP="00AD0734">
      <w:pPr>
        <w:rPr>
          <w:b/>
          <w:bCs/>
        </w:rPr>
      </w:pPr>
      <w:r>
        <w:t xml:space="preserve"> </w:t>
      </w:r>
      <w:r w:rsidR="00AD0734" w:rsidRPr="00501F8F">
        <w:rPr>
          <w:b/>
          <w:bCs/>
        </w:rPr>
        <w:t>K</w:t>
      </w:r>
      <w:r w:rsidR="00FC1F68" w:rsidRPr="00501F8F">
        <w:rPr>
          <w:b/>
          <w:bCs/>
        </w:rPr>
        <w:t>as biosimilaride vahetatavus hõlmab ka olukordi, ku</w:t>
      </w:r>
      <w:r w:rsidR="00155B62">
        <w:rPr>
          <w:b/>
          <w:bCs/>
        </w:rPr>
        <w:t>s</w:t>
      </w:r>
      <w:r w:rsidR="00FC1F68" w:rsidRPr="00501F8F">
        <w:rPr>
          <w:b/>
          <w:bCs/>
        </w:rPr>
        <w:t xml:space="preserve"> toimub mitu </w:t>
      </w:r>
      <w:r w:rsidR="006854D6">
        <w:rPr>
          <w:b/>
          <w:bCs/>
        </w:rPr>
        <w:t>ümbervahetamist</w:t>
      </w:r>
      <w:r w:rsidR="00FC1F68" w:rsidRPr="00501F8F">
        <w:rPr>
          <w:b/>
          <w:bCs/>
        </w:rPr>
        <w:t xml:space="preserve"> </w:t>
      </w:r>
      <w:r w:rsidR="001637DE">
        <w:rPr>
          <w:b/>
          <w:bCs/>
        </w:rPr>
        <w:t xml:space="preserve">(ingl </w:t>
      </w:r>
      <w:r w:rsidR="001637DE" w:rsidRPr="001637DE">
        <w:rPr>
          <w:b/>
          <w:bCs/>
          <w:i/>
          <w:iCs/>
        </w:rPr>
        <w:t>switching</w:t>
      </w:r>
      <w:r w:rsidR="001637DE">
        <w:rPr>
          <w:b/>
          <w:bCs/>
        </w:rPr>
        <w:t xml:space="preserve">) </w:t>
      </w:r>
      <w:r w:rsidR="00FC1F68" w:rsidRPr="00501F8F">
        <w:rPr>
          <w:b/>
          <w:bCs/>
        </w:rPr>
        <w:t xml:space="preserve">– sõltumata </w:t>
      </w:r>
      <w:r w:rsidR="005F70A5">
        <w:rPr>
          <w:b/>
          <w:bCs/>
        </w:rPr>
        <w:t>ümbervahetamise</w:t>
      </w:r>
      <w:r w:rsidR="00FC1F68" w:rsidRPr="00501F8F">
        <w:rPr>
          <w:b/>
          <w:bCs/>
        </w:rPr>
        <w:t xml:space="preserve"> sagedusest ja ravimite arvust?</w:t>
      </w:r>
    </w:p>
    <w:p w14:paraId="58EB6545" w14:textId="3A989F5E" w:rsidR="00AD0734" w:rsidRDefault="00AD0734" w:rsidP="00AD0734">
      <w:r>
        <w:t xml:space="preserve">Jah, juhul kui </w:t>
      </w:r>
      <w:r w:rsidR="006854D6">
        <w:t>ümbervahetamised</w:t>
      </w:r>
      <w:r>
        <w:t xml:space="preserve"> toimuvad</w:t>
      </w:r>
      <w:r w:rsidR="00822F70">
        <w:t xml:space="preserve"> </w:t>
      </w:r>
      <w:r>
        <w:t>viidatav</w:t>
      </w:r>
      <w:r w:rsidR="004A2827">
        <w:t>a</w:t>
      </w:r>
      <w:r>
        <w:t xml:space="preserve"> ravim</w:t>
      </w:r>
      <w:r w:rsidR="004A2827">
        <w:t>i</w:t>
      </w:r>
      <w:r w:rsidR="00822F70">
        <w:t xml:space="preserve"> ja selle biosimilarid</w:t>
      </w:r>
      <w:r w:rsidR="004A2827">
        <w:t xml:space="preserve">e </w:t>
      </w:r>
      <w:r w:rsidR="00160120">
        <w:t>piires</w:t>
      </w:r>
      <w:r>
        <w:t xml:space="preserve">. </w:t>
      </w:r>
      <w:r w:rsidR="00822F70">
        <w:t xml:space="preserve">Biosimilaride arenduse käigus </w:t>
      </w:r>
      <w:r w:rsidR="004A2827">
        <w:t>tehakse põhjalik</w:t>
      </w:r>
      <w:r w:rsidR="00822F70">
        <w:t xml:space="preserve"> </w:t>
      </w:r>
      <w:r w:rsidR="00155B62">
        <w:t>võrdlusuuring</w:t>
      </w:r>
      <w:r w:rsidR="004A2827">
        <w:t>, mistõttu</w:t>
      </w:r>
      <w:r w:rsidR="00822F70">
        <w:t xml:space="preserve"> </w:t>
      </w:r>
      <w:r w:rsidR="006854D6">
        <w:t>ümbervahetamisest</w:t>
      </w:r>
      <w:r w:rsidR="00822F70">
        <w:t xml:space="preserve"> tingitud negatiivsed tagajärjed</w:t>
      </w:r>
      <w:r w:rsidR="004A2827">
        <w:t xml:space="preserve"> on</w:t>
      </w:r>
      <w:r w:rsidR="00822F70">
        <w:t xml:space="preserve"> äärmiselt vähetõenäolis</w:t>
      </w:r>
      <w:r w:rsidR="004A2827">
        <w:t>ed</w:t>
      </w:r>
      <w:r w:rsidR="00822F70">
        <w:t>. Sellist lähenemisviisi kasutatakse juba mõnes liikmesriigis</w:t>
      </w:r>
      <w:r w:rsidR="006854D6">
        <w:t>,</w:t>
      </w:r>
      <w:r w:rsidR="00822F70">
        <w:t xml:space="preserve"> </w:t>
      </w:r>
      <w:r w:rsidR="0008204F">
        <w:t xml:space="preserve">ilma et oleks märke </w:t>
      </w:r>
      <w:r w:rsidR="006854D6">
        <w:t xml:space="preserve">muutustest </w:t>
      </w:r>
      <w:r w:rsidR="00155B62">
        <w:t>biosimilaride</w:t>
      </w:r>
      <w:r w:rsidR="0008204F">
        <w:t xml:space="preserve"> tõhususes või ohutuses.</w:t>
      </w:r>
      <w:r w:rsidR="00501F8F">
        <w:t xml:space="preserve"> </w:t>
      </w:r>
      <w:r w:rsidR="00DF349C">
        <w:t xml:space="preserve">Avaldatud seisukoht </w:t>
      </w:r>
      <w:r w:rsidR="00501F8F">
        <w:t xml:space="preserve">puudutab üksnes toimeainet ja valmis ravimit ning ei hõlma võimalikke probleeme </w:t>
      </w:r>
      <w:r w:rsidR="009E784A">
        <w:t xml:space="preserve">näiteks </w:t>
      </w:r>
      <w:r w:rsidR="00501F8F">
        <w:t>erinevate manustamisvahenditega</w:t>
      </w:r>
      <w:r w:rsidR="00B307DE">
        <w:t>.</w:t>
      </w:r>
      <w:r w:rsidR="00501F8F">
        <w:t xml:space="preserve"> </w:t>
      </w:r>
      <w:r w:rsidR="002D5659">
        <w:t>Nagu iga</w:t>
      </w:r>
      <w:r w:rsidR="004A2827">
        <w:t xml:space="preserve"> bioloogilise</w:t>
      </w:r>
      <w:r w:rsidR="002D5659">
        <w:t xml:space="preserve"> ravimi puhul, nii tuleb </w:t>
      </w:r>
      <w:r w:rsidR="00155B62">
        <w:t xml:space="preserve">ka </w:t>
      </w:r>
      <w:r w:rsidR="002D5659">
        <w:t>biosimilaride</w:t>
      </w:r>
      <w:r w:rsidR="00155B62">
        <w:t xml:space="preserve"> korral tagada</w:t>
      </w:r>
      <w:r w:rsidR="002D5659">
        <w:t xml:space="preserve"> </w:t>
      </w:r>
      <w:r w:rsidR="00A0212A">
        <w:t xml:space="preserve">ravimi </w:t>
      </w:r>
      <w:r w:rsidR="002D5659">
        <w:t xml:space="preserve">jälgitavus, et kõrvaltoimete esinemisel oleks võimalik </w:t>
      </w:r>
      <w:r w:rsidR="004A2827">
        <w:t xml:space="preserve">nende </w:t>
      </w:r>
      <w:r w:rsidR="002D5659">
        <w:t>algpõhjusi analüüsida.</w:t>
      </w:r>
    </w:p>
    <w:p w14:paraId="30C6A64D" w14:textId="2765D506" w:rsidR="00CA24A9" w:rsidRPr="00CA24A9" w:rsidRDefault="00CA24A9" w:rsidP="00AD0734">
      <w:pPr>
        <w:rPr>
          <w:b/>
          <w:bCs/>
        </w:rPr>
      </w:pPr>
      <w:r w:rsidRPr="00CA24A9">
        <w:rPr>
          <w:b/>
          <w:bCs/>
        </w:rPr>
        <w:t>Kas vahetatavus kehtib kõigile biosimilaridele, k.a keerukama molekulaarse struktuuriga ühenditele?</w:t>
      </w:r>
    </w:p>
    <w:p w14:paraId="411C5F41" w14:textId="0C26A547" w:rsidR="00CA24A9" w:rsidRDefault="00CA24A9" w:rsidP="00AD0734">
      <w:r>
        <w:t>Jah</w:t>
      </w:r>
      <w:r w:rsidR="00155B62">
        <w:t xml:space="preserve">. </w:t>
      </w:r>
      <w:r>
        <w:t xml:space="preserve">Euroopa Liidus </w:t>
      </w:r>
      <w:r w:rsidR="005F70A5">
        <w:t xml:space="preserve">on </w:t>
      </w:r>
      <w:r>
        <w:t xml:space="preserve">bioloogilistele ravimitele ja biosimilaridele kehtivad </w:t>
      </w:r>
      <w:r w:rsidR="00160120">
        <w:t xml:space="preserve"> </w:t>
      </w:r>
      <w:r>
        <w:t>nõ</w:t>
      </w:r>
      <w:r w:rsidR="006854D6">
        <w:t>u</w:t>
      </w:r>
      <w:r>
        <w:t xml:space="preserve">ded </w:t>
      </w:r>
      <w:r w:rsidR="006854D6">
        <w:t xml:space="preserve">sellised, </w:t>
      </w:r>
      <w:r w:rsidR="00234DB0">
        <w:t xml:space="preserve">mis arvestavad ka </w:t>
      </w:r>
      <w:r w:rsidR="006854D6">
        <w:t>molekulaarselt keerukate ravimite</w:t>
      </w:r>
      <w:r w:rsidR="00234DB0">
        <w:t xml:space="preserve">ga. </w:t>
      </w:r>
      <w:r>
        <w:t xml:space="preserve"> </w:t>
      </w:r>
    </w:p>
    <w:p w14:paraId="391ACCE5" w14:textId="2E3164F9" w:rsidR="00A048DA" w:rsidRPr="00A048DA" w:rsidRDefault="00A048DA" w:rsidP="00AD0734">
      <w:pPr>
        <w:rPr>
          <w:b/>
          <w:bCs/>
        </w:rPr>
      </w:pPr>
      <w:r w:rsidRPr="00A048DA">
        <w:rPr>
          <w:b/>
          <w:bCs/>
        </w:rPr>
        <w:t>Kas EMA-HMA avaldus</w:t>
      </w:r>
      <w:r w:rsidR="00CA24A9" w:rsidRPr="00A048DA">
        <w:rPr>
          <w:b/>
          <w:bCs/>
        </w:rPr>
        <w:t xml:space="preserve"> </w:t>
      </w:r>
      <w:r w:rsidRPr="00A048DA">
        <w:rPr>
          <w:b/>
          <w:bCs/>
        </w:rPr>
        <w:t xml:space="preserve">biosimilaride vahetatavuse kohta tähendab, et viidatava bioloogilise ravimi </w:t>
      </w:r>
      <w:r w:rsidR="00155B62">
        <w:rPr>
          <w:b/>
          <w:bCs/>
        </w:rPr>
        <w:t>ümbervahetamine</w:t>
      </w:r>
      <w:r w:rsidRPr="00A048DA">
        <w:rPr>
          <w:b/>
          <w:bCs/>
        </w:rPr>
        <w:t xml:space="preserve"> biosimilari</w:t>
      </w:r>
      <w:r w:rsidR="00155B62">
        <w:rPr>
          <w:b/>
          <w:bCs/>
        </w:rPr>
        <w:t xml:space="preserve"> vastu</w:t>
      </w:r>
      <w:r w:rsidRPr="00A048DA">
        <w:rPr>
          <w:b/>
          <w:bCs/>
        </w:rPr>
        <w:t xml:space="preserve"> või ühe biosimilari </w:t>
      </w:r>
      <w:r w:rsidR="00155B62">
        <w:rPr>
          <w:b/>
          <w:bCs/>
        </w:rPr>
        <w:t>ümbervahetamine</w:t>
      </w:r>
      <w:r w:rsidRPr="00A048DA">
        <w:rPr>
          <w:b/>
          <w:bCs/>
        </w:rPr>
        <w:t xml:space="preserve"> teise biosimilari</w:t>
      </w:r>
      <w:r w:rsidR="00155B62">
        <w:rPr>
          <w:b/>
          <w:bCs/>
        </w:rPr>
        <w:t xml:space="preserve"> vastu</w:t>
      </w:r>
      <w:r w:rsidRPr="00A048DA">
        <w:rPr>
          <w:b/>
          <w:bCs/>
        </w:rPr>
        <w:t xml:space="preserve"> on minu riigis lubatud?</w:t>
      </w:r>
    </w:p>
    <w:p w14:paraId="54C2855B" w14:textId="19478A05" w:rsidR="00CA24A9" w:rsidRDefault="00A048DA" w:rsidP="00AD0734">
      <w:r>
        <w:t>Ei</w:t>
      </w:r>
      <w:r w:rsidR="00DE4824">
        <w:t>.</w:t>
      </w:r>
      <w:r>
        <w:t xml:space="preserve"> EMA ei reguleeri </w:t>
      </w:r>
      <w:r w:rsidR="0026715D">
        <w:t xml:space="preserve">ravimite välja kirjutamist ega anna välja kliinilisi juhiseid. Need küsimused </w:t>
      </w:r>
      <w:r w:rsidR="00322B58">
        <w:t>on</w:t>
      </w:r>
      <w:r w:rsidR="0026715D">
        <w:t xml:space="preserve"> liikmesriikide </w:t>
      </w:r>
      <w:r w:rsidR="00322B58">
        <w:t>lahendada</w:t>
      </w:r>
      <w:r w:rsidR="0026715D">
        <w:t>.</w:t>
      </w:r>
      <w:r w:rsidR="00DE4824">
        <w:t xml:space="preserve"> EMA ja HMA a</w:t>
      </w:r>
      <w:r w:rsidR="000F6E3D">
        <w:t>valdus on teaduslikult põhjendatud seisukoht, et biosimilar</w:t>
      </w:r>
      <w:r w:rsidR="00DE4824">
        <w:t>id on</w:t>
      </w:r>
      <w:r w:rsidR="000F6E3D">
        <w:t xml:space="preserve"> omavahel vaheta</w:t>
      </w:r>
      <w:r w:rsidR="00DE4824">
        <w:t>tavad</w:t>
      </w:r>
      <w:r w:rsidR="000F6E3D">
        <w:t>.</w:t>
      </w:r>
      <w:r w:rsidR="006854D6">
        <w:t xml:space="preserve"> Avalduse eesmärk on </w:t>
      </w:r>
      <w:r w:rsidR="00160120">
        <w:t xml:space="preserve">olla </w:t>
      </w:r>
      <w:r w:rsidR="00DE4824">
        <w:t>toeks</w:t>
      </w:r>
      <w:r w:rsidR="006854D6">
        <w:t xml:space="preserve"> lii</w:t>
      </w:r>
      <w:r w:rsidR="00FD481E">
        <w:t>k</w:t>
      </w:r>
      <w:r w:rsidR="006854D6">
        <w:t>mesriik</w:t>
      </w:r>
      <w:r w:rsidR="00DE4824">
        <w:t>idele</w:t>
      </w:r>
      <w:r w:rsidR="00160120">
        <w:t xml:space="preserve"> ravimite ümbervahetamis</w:t>
      </w:r>
      <w:r w:rsidR="00AC4FFD">
        <w:t>t</w:t>
      </w:r>
      <w:r w:rsidR="00160120">
        <w:t xml:space="preserve"> ja/või asendamis</w:t>
      </w:r>
      <w:r w:rsidR="00AC4FFD">
        <w:t>t</w:t>
      </w:r>
      <w:r w:rsidR="00160120">
        <w:t xml:space="preserve"> (ingl </w:t>
      </w:r>
      <w:r w:rsidR="00160120" w:rsidRPr="00FD481E">
        <w:rPr>
          <w:i/>
          <w:iCs/>
        </w:rPr>
        <w:t>substitution</w:t>
      </w:r>
      <w:r w:rsidR="00160120">
        <w:t>) puudutavate otsuste tegemisel.</w:t>
      </w:r>
      <w:r w:rsidR="00FD481E">
        <w:t xml:space="preserve"> </w:t>
      </w:r>
      <w:r w:rsidR="00D44850">
        <w:t>Iga</w:t>
      </w:r>
      <w:r w:rsidR="00FD481E">
        <w:t xml:space="preserve"> liikmesriik</w:t>
      </w:r>
      <w:r w:rsidR="00D44850">
        <w:t xml:space="preserve"> otsustab aga</w:t>
      </w:r>
      <w:r w:rsidR="00FD481E">
        <w:t xml:space="preserve"> ise, kuidas </w:t>
      </w:r>
      <w:r w:rsidR="00D44850">
        <w:t>seda teaduslikku seisukohta</w:t>
      </w:r>
      <w:r w:rsidR="00FD481E">
        <w:t xml:space="preserve"> rakendada, s.t millise</w:t>
      </w:r>
      <w:r w:rsidR="00D44850">
        <w:t>i</w:t>
      </w:r>
      <w:r w:rsidR="00FD481E">
        <w:t>d bioloogilis</w:t>
      </w:r>
      <w:r w:rsidR="00D44850">
        <w:t>i</w:t>
      </w:r>
      <w:r w:rsidR="00FD481E">
        <w:t xml:space="preserve"> ravim</w:t>
      </w:r>
      <w:r w:rsidR="00D44850">
        <w:t>e</w:t>
      </w:r>
      <w:r w:rsidR="00FD481E">
        <w:t>id nende riigis retseptiga väljasta</w:t>
      </w:r>
      <w:r w:rsidR="00D44850">
        <w:t>da saab</w:t>
      </w:r>
      <w:r w:rsidR="00FD481E">
        <w:t xml:space="preserve"> ja kas biosimilaride asendamist apteegi tasemel </w:t>
      </w:r>
      <w:r w:rsidR="00B43933">
        <w:t>lubatakse.</w:t>
      </w:r>
      <w:r w:rsidR="00FD481E">
        <w:t xml:space="preserve"> </w:t>
      </w:r>
      <w:r w:rsidR="006854D6">
        <w:t xml:space="preserve"> </w:t>
      </w:r>
    </w:p>
    <w:p w14:paraId="4CE58C2F" w14:textId="77777777" w:rsidR="00421879" w:rsidRDefault="00421879"/>
    <w:sectPr w:rsidR="00421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277E"/>
    <w:multiLevelType w:val="hybridMultilevel"/>
    <w:tmpl w:val="128A98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D7"/>
    <w:rsid w:val="00014AFA"/>
    <w:rsid w:val="0008204F"/>
    <w:rsid w:val="000F6E3D"/>
    <w:rsid w:val="00103884"/>
    <w:rsid w:val="00155B62"/>
    <w:rsid w:val="00160120"/>
    <w:rsid w:val="001637DE"/>
    <w:rsid w:val="00206188"/>
    <w:rsid w:val="0023206E"/>
    <w:rsid w:val="00234DB0"/>
    <w:rsid w:val="00266CA5"/>
    <w:rsid w:val="0026715D"/>
    <w:rsid w:val="002D5659"/>
    <w:rsid w:val="002E29FB"/>
    <w:rsid w:val="00322B58"/>
    <w:rsid w:val="003367D7"/>
    <w:rsid w:val="003868B5"/>
    <w:rsid w:val="00421879"/>
    <w:rsid w:val="00453D75"/>
    <w:rsid w:val="004A2827"/>
    <w:rsid w:val="004B6A85"/>
    <w:rsid w:val="00501F8F"/>
    <w:rsid w:val="005F70A5"/>
    <w:rsid w:val="006854D6"/>
    <w:rsid w:val="006974FD"/>
    <w:rsid w:val="007C2D94"/>
    <w:rsid w:val="00810133"/>
    <w:rsid w:val="00822F70"/>
    <w:rsid w:val="00866286"/>
    <w:rsid w:val="008E7C2D"/>
    <w:rsid w:val="009D1FD3"/>
    <w:rsid w:val="009E784A"/>
    <w:rsid w:val="00A0212A"/>
    <w:rsid w:val="00A048DA"/>
    <w:rsid w:val="00A56D31"/>
    <w:rsid w:val="00AC4FFD"/>
    <w:rsid w:val="00AD0734"/>
    <w:rsid w:val="00B307DE"/>
    <w:rsid w:val="00B43933"/>
    <w:rsid w:val="00B80D8B"/>
    <w:rsid w:val="00C1627D"/>
    <w:rsid w:val="00CA24A9"/>
    <w:rsid w:val="00CF26E0"/>
    <w:rsid w:val="00D11448"/>
    <w:rsid w:val="00D44850"/>
    <w:rsid w:val="00DA1EB3"/>
    <w:rsid w:val="00DE4824"/>
    <w:rsid w:val="00DF349C"/>
    <w:rsid w:val="00E11F83"/>
    <w:rsid w:val="00FC1F68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957F"/>
  <w15:chartTrackingRefBased/>
  <w15:docId w15:val="{A8E51CB5-94CC-43B8-AD63-7DF902F9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C1F68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8E7C2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E7C2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E7C2D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E7C2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E7C2D"/>
    <w:rPr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453D75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53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TEHIK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Säälik</dc:creator>
  <cp:keywords/>
  <dc:description/>
  <cp:lastModifiedBy>Triin Suvi</cp:lastModifiedBy>
  <cp:revision>2</cp:revision>
  <dcterms:created xsi:type="dcterms:W3CDTF">2023-03-08T11:07:00Z</dcterms:created>
  <dcterms:modified xsi:type="dcterms:W3CDTF">2023-03-08T11:07:00Z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833324142</vt:i4>
  </property>
  <property fmtid="{D5CDD505-2E9C-101B-9397-08002B2CF9AE}" pid="3" name="_NewReviewCycle">
    <vt:lpwstr/>
  </property>
  <property fmtid="{D5CDD505-2E9C-101B-9397-08002B2CF9AE}" pid="4" name="_EmailSubject">
    <vt:lpwstr>Biosimilarid kodulehel</vt:lpwstr>
  </property>
  <property fmtid="{D5CDD505-2E9C-101B-9397-08002B2CF9AE}" pid="5" name="_AuthorEmail">
    <vt:lpwstr>Triin.Suvi@ravimiamet.ee</vt:lpwstr>
  </property>
  <property fmtid="{D5CDD505-2E9C-101B-9397-08002B2CF9AE}" pid="6" name="_AuthorEmailDisplayName">
    <vt:lpwstr>Triin Suvi</vt:lpwstr>
  </property>
  <property fmtid="{D5CDD505-2E9C-101B-9397-08002B2CF9AE}" pid="7" name="_PreviousAdHocReviewCycleID">
    <vt:i4>1788338954</vt:i4>
  </property>
</Properties>
</file>